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rStyle w:val="6"/>
        </w:rPr>
        <w:t>Best Practices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6"/>
        </w:rPr>
        <w:t>Title of the practice</w:t>
      </w:r>
      <w:r>
        <w:t>:</w:t>
      </w:r>
      <w:r>
        <w:rPr>
          <w:rStyle w:val="4"/>
        </w:rPr>
        <w:t>Motivate faculty towards continuous upgradation of</w:t>
      </w:r>
      <w:r>
        <w:rPr>
          <w:rStyle w:val="4"/>
          <w:rFonts w:hint="default"/>
          <w:lang w:val="en-IN"/>
        </w:rPr>
        <w:t xml:space="preserve"> </w:t>
      </w:r>
      <w:r>
        <w:rPr>
          <w:rStyle w:val="4"/>
        </w:rPr>
        <w:t>knowledge and delivery of teaching and their academic growth.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6"/>
        </w:rPr>
        <w:t>Objectives</w:t>
      </w:r>
      <w:r>
        <w:t>: To help faculty to achieve academic excellence.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6"/>
        </w:rPr>
        <w:t>Context:</w:t>
      </w:r>
      <w:r>
        <w:t>To enhance the teaching standards several quality initiatives are adopted by the college.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6"/>
        </w:rPr>
        <w:t>The Practice:</w:t>
      </w:r>
      <w:r>
        <w:t>Due to the pandemic, we used MS-Teams for curriculum delivery. For this purpose adequate training was provided to teachers.</w:t>
      </w:r>
    </w:p>
    <w:p>
      <w:pPr>
        <w:pStyle w:val="5"/>
        <w:keepNext w:val="0"/>
        <w:keepLines w:val="0"/>
        <w:widowControl/>
        <w:suppressLineNumbers w:val="0"/>
      </w:pPr>
      <w:r>
        <w:t>By providing monetary reimbursement to faculty for attending various Career Advancement Programmes.</w:t>
      </w:r>
    </w:p>
    <w:p>
      <w:pPr>
        <w:pStyle w:val="5"/>
        <w:keepNext w:val="0"/>
        <w:keepLines w:val="0"/>
        <w:widowControl/>
        <w:suppressLineNumbers w:val="0"/>
      </w:pPr>
      <w:r>
        <w:t>The college regularly organizes CAS promotion interviews for faculty for their academic growth.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6"/>
        </w:rPr>
        <w:t>Evidence of success</w:t>
      </w:r>
      <w:r>
        <w:t>: More than 65% faculty are PhD holders and Associate Professors. Teachers also publish their papers in UGC- CARE list, SCOPUS and H index journals regularly.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6"/>
        </w:rPr>
        <w:t>Title of the practice:</w:t>
      </w:r>
      <w:r>
        <w:rPr>
          <w:rStyle w:val="4"/>
        </w:rPr>
        <w:t>Foster Indian values through culture, care, compassion, creativity and collaboration through our portals.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6"/>
        </w:rPr>
        <w:t>Objectives:</w:t>
      </w:r>
      <w:r>
        <w:t>To make students aware about their rights, duties and inculcate the concept of Unity in Diversity.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6"/>
        </w:rPr>
        <w:t>Context</w:t>
      </w:r>
      <w:r>
        <w:t>: Due to cosmopolitan nature of the city, it is imperative to maintain tolerance and harmony in society.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6"/>
        </w:rPr>
        <w:t>The Practice</w:t>
      </w:r>
      <w:r>
        <w:t>: The college celebrates commemorative days through NSS,Cultural Committees, which inculcate values of unity, compassion and tolerance among students.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6"/>
        </w:rPr>
        <w:t xml:space="preserve">Evidence of success:Our </w:t>
      </w:r>
      <w:r>
        <w:t>NSS unit organizes Blood Donation Camps with high rate of success. All-religion prayers are organized annually. Students from different communities harmoniously study together.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637C6"/>
    <w:rsid w:val="55B6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2022-08-20T05:37:00Z</dcterms:created>
  <dc:creator>Chippy Susan Bobby</dc:creator>
  <cp:lastModifiedBy>Chippy Susan Bobby</cp:lastModifiedBy>
  <dcterms:modified xsi:type="dcterms:W3CDTF">2022-08-20T05:43:05Z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18149DD4F79842A6AB50D786F95CA7E5</vt:lpwstr>
  </property>
</Properties>
</file>